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039669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3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3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3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32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3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3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32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618-т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40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85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85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855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pStyle w:val="832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pStyle w:val="832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в приложение № 1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pStyle w:val="832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29 ноября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20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года №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124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32"/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32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2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вноси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приложение № 1 к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приказ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у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от 29 ноября 2020 года № 124-т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установлен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ии филиалу акционерного общества «Ямалкоммунэнерго» в Приуральском районе тарифов на питьевую воду для расчетов с потребителями села Катравож муниципального образования муниципальный округ Приуральский район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тономного округа, </w:t>
      </w:r>
      <w:r>
        <w:rPr>
          <w:rFonts w:ascii="Liberation Sans" w:hAnsi="Liberation Sans" w:eastAsia="Liberation Serif" w:cs="Liberation Sans"/>
          <w:sz w:val="28"/>
          <w:szCs w:val="28"/>
        </w:rPr>
        <w:br/>
        <w:t xml:space="preserve">и долгосрочных параметров регулирования тарифов, на 2020 - 2025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pStyle w:val="8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37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5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855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855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3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32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3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3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32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37"/>
        <w:ind w:firstLine="0"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37"/>
        <w:ind w:firstLine="0"/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37"/>
        <w:ind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от 29 ноября 2020 года № 124-т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72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720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1 изложить в следующей редакции: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  <w:t xml:space="preserve"> 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ind w:left="9356"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от 29 ноября 2020 года № 124-т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ind w:left="10065" w:hanging="709"/>
        <w:rPr>
          <w:rFonts w:ascii="Liberation Sans" w:hAnsi="Liberation Sans" w:eastAsia="Liberation Serif" w:cs="Liberation Sans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618-т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  <w:sz w:val="24"/>
        </w:rPr>
      </w:r>
      <w:r/>
    </w:p>
    <w:p>
      <w:pPr>
        <w:pStyle w:val="832"/>
        <w:ind w:left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2"/>
        <w:jc w:val="center"/>
        <w:rPr>
          <w:rFonts w:ascii="Liberation Sans" w:hAnsi="Liberation Sans" w:eastAsia="Liberation Serif" w:cs="Liberation Sans"/>
          <w:highlight w:val="none"/>
        </w:rPr>
        <w:outlineLvl w:val="0"/>
      </w:pPr>
      <w:r>
        <w:rPr>
          <w:rFonts w:ascii="Liberation Sans" w:hAnsi="Liberation Sans" w:eastAsia="Liberation Serif" w:cs="Liberation Sans"/>
        </w:rPr>
        <w:t xml:space="preserve">ТАРИФЫ НА ПИТЬЕВУЮ ВОДУ, УСТАНОВЛЕННЫЕ ФИЛИАЛУ АКЦИОНЕРНОГО ОБЩЕСТВА «ЯМАЛКОММУНЭНЕРГО» </w:t>
      </w:r>
      <w:r>
        <w:rPr>
          <w:rFonts w:ascii="Liberation Sans" w:hAnsi="Liberation Sans" w:eastAsia="Liberation Serif" w:cs="Liberation Sans"/>
        </w:rPr>
        <w:br/>
      </w:r>
      <w:r>
        <w:rPr>
          <w:rFonts w:ascii="Liberation Sans" w:hAnsi="Liberation Sans" w:eastAsia="Liberation Serif" w:cs="Liberation Sans"/>
        </w:rPr>
        <w:t xml:space="preserve">В ПРИУРАЛЬСКОМ РАЙОНЕ ДЛЯ РАСЧЕТОВ С ПОТРЕБИТЕЛЯМ</w:t>
      </w:r>
      <w:r>
        <w:rPr>
          <w:rFonts w:ascii="Liberation Sans" w:hAnsi="Liberation Sans" w:eastAsia="Liberation Serif" w:cs="Liberation Sans"/>
        </w:rPr>
        <w:t xml:space="preserve">И </w:t>
      </w:r>
      <w:r>
        <w:rPr>
          <w:rFonts w:ascii="Liberation Sans" w:hAnsi="Liberation Sans" w:eastAsia="Liberation Serif" w:cs="Liberation Sans"/>
          <w:bCs/>
        </w:rPr>
        <w:t xml:space="preserve">СЕЛА КАТРА</w:t>
      </w:r>
      <w:r>
        <w:rPr>
          <w:rFonts w:ascii="Liberation Sans" w:hAnsi="Liberation Sans" w:eastAsia="Liberation Serif" w:cs="Liberation Sans"/>
          <w:bCs/>
        </w:rPr>
        <w:t xml:space="preserve">ВОЖ</w:t>
      </w:r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МУНИЦИПАЛЬНОГО ОБРАЗОВАНИЯ </w:t>
      </w:r>
      <w:r>
        <w:rPr>
          <w:rFonts w:ascii="Liberation Sans" w:hAnsi="Liberation Sans" w:eastAsia="Liberation Serif" w:cs="Liberation Sans"/>
        </w:rPr>
        <w:t xml:space="preserve">МУНИЦИПАЛЬНЫЙ ОКРУГ </w:t>
      </w:r>
      <w:r>
        <w:rPr>
          <w:rFonts w:ascii="Liberation Sans" w:hAnsi="Liberation Sans" w:eastAsia="Liberation Serif" w:cs="Liberation Sans"/>
        </w:rPr>
        <w:t xml:space="preserve">ПРИУРАЛЬСКИЙ РАЙОН</w:t>
      </w:r>
      <w:r>
        <w:rPr>
          <w:rFonts w:ascii="Liberation Sans" w:hAnsi="Liberation Sans" w:eastAsia="Liberation Serif" w:cs="Liberation Sans"/>
        </w:rPr>
        <w:t xml:space="preserve"> ЯМАЛО-НЕНЕЦКОГО АВТОНОМНОГО ОКРУГА</w:t>
      </w:r>
      <w:r>
        <w:rPr>
          <w:rFonts w:ascii="Liberation Sans" w:hAnsi="Liberation Sans" w:eastAsia="Liberation Serif" w:cs="Liberation Sans"/>
        </w:rPr>
        <w:t xml:space="preserve">, НА 2020 - 202</w:t>
      </w:r>
      <w:r>
        <w:rPr>
          <w:rFonts w:ascii="Liberation Sans" w:hAnsi="Liberation Sans" w:eastAsia="Liberation Serif" w:cs="Liberation Sans"/>
        </w:rPr>
        <w:t xml:space="preserve">5</w:t>
      </w:r>
      <w:r>
        <w:rPr>
          <w:rFonts w:ascii="Liberation Sans" w:hAnsi="Liberation Sans" w:eastAsia="Liberation Serif" w:cs="Liberation Sans"/>
        </w:rPr>
        <w:t xml:space="preserve"> ГОДЫ</w:t>
      </w:r>
      <w:r>
        <w:rPr>
          <w:rFonts w:ascii="Liberation Sans" w:hAnsi="Liberation Sans" w:cs="Liberation Sans"/>
        </w:rPr>
      </w:r>
      <w:r/>
    </w:p>
    <w:p>
      <w:pPr>
        <w:pStyle w:val="832"/>
        <w:jc w:val="right"/>
        <w:rPr>
          <w:rFonts w:ascii="Liberation Sans" w:hAnsi="Liberation Sans" w:cs="Liberation Sans"/>
          <w:highlight w:val="none"/>
        </w:rPr>
        <w:outlineLvl w:val="0"/>
      </w:pPr>
      <w:r>
        <w:rPr>
          <w:rFonts w:ascii="Liberation Sans" w:hAnsi="Liberation Sans" w:eastAsia="Liberation Serif" w:cs="Liberation Sans"/>
          <w:highlight w:val="none"/>
        </w:rPr>
      </w:r>
      <w:r>
        <w:rPr>
          <w:rFonts w:ascii="Liberation Sans" w:hAnsi="Liberation Sans" w:eastAsia="Liberation Serif" w:cs="Liberation Sans"/>
          <w:highlight w:val="none"/>
        </w:rPr>
      </w:r>
      <w:r/>
    </w:p>
    <w:p>
      <w:pPr>
        <w:pStyle w:val="832"/>
        <w:jc w:val="right"/>
        <w:rPr>
          <w:rFonts w:ascii="Liberation Sans" w:hAnsi="Liberation Sans" w:eastAsia="Liberation Serif" w:cs="Liberation Sans"/>
          <w:highlight w:val="none"/>
        </w:rPr>
        <w:outlineLvl w:val="0"/>
      </w:pPr>
      <w:r>
        <w:rPr>
          <w:rFonts w:ascii="Liberation Sans" w:hAnsi="Liberation Sans" w:eastAsia="Liberation Serif" w:cs="Liberation Sans"/>
          <w:highlight w:val="none"/>
        </w:rPr>
        <w:t xml:space="preserve">Таблица 1</w:t>
      </w:r>
      <w:r>
        <w:rPr>
          <w:rFonts w:ascii="Liberation Sans" w:hAnsi="Liberation Sans" w:eastAsia="Liberation Serif" w:cs="Liberation Sans"/>
          <w:highlight w:val="none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16"/>
        <w:gridCol w:w="6520"/>
        <w:gridCol w:w="2286"/>
        <w:gridCol w:w="516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Потребители, оплачивающие</w:t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руб./м3 (бе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01.12.2020 по 31.12.2020 – 1010,27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01.01.2021 по 30.06.2021 – 1010,27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01.07.2021 по 31.12.2021 – 1042,13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01.01.2022 по 30.06.2022 – 1042,13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01.07.2022 по 30.11.2022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1042,13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01.12.2022 по 31.12.2022 – 562,03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с 01.01.2023 по 31.12.2023 – 562,03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562,03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white"/>
              </w:rPr>
              <w:t xml:space="preserve">562,03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01.01.2025 по 30.06.2025 – 1133,94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01.07.2025 по 31.12.2025 – 1166,72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HYPERLINK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consult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antplus://offline/ref=30AE12744AACC646BD4A127E9A00FA26F3F5D77ABA9B9249DE8065AAD0E7560D85AC42817DBE367E208644GEEAF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01.12.2020 по 31.12.2020 – 50,48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01.01.2021 по 30.06.2021 – 50,48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01.07.2021 по 31.12.2021 – 52,19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01.01.2022 по 30.06.2022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52,19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53,96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58,81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– 58,81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01.01.2024 по 30.06.2024 – 58,81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01.07.2024 по 31.12.2024 – 63,51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HYPERLINK consultantplus://offline/ref=E2D39A4F09B56413B3EC0001D0709032262D2B4CB0535EAD3A2383E493BF8F76C45AD369E8E1994C547488p5EDF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32"/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HYPERLINK consultantplus://of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instrText xml:space="preserve">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2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01.12.2020 по 31.12.2020 – 60,58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01.01.2021 по 30.06.2021 – 60,58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01.07.2021 по 31.12.2021 – 62,63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01.01.2022 по 30.0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6.2022 –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62,63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01.07.2022 по 30.11.2022 –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64,75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70,57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</w:t>
            </w: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70,57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01.01.2024 по 30.06.2024 – 70,57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01.07.2024 по 31.12.2024 – 76,21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520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4" w:type="dxa"/>
            <w:vAlign w:val="center"/>
            <w:textDirection w:val="lrTb"/>
            <w:noWrap w:val="false"/>
          </w:tcPr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01.01.2025 по 30.06.2025 –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2"/>
              <w:rPr>
                <w:rFonts w:ascii="Liberation Sans" w:hAnsi="Liberation Sans" w:cs="Liberation Sans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01.07.2025 по 31.12.2025 –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Потребители, имеющие право на льготные тарифы в сфере водоснабжения, указанные в 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sz w:val="20"/>
          <w:szCs w:val="20"/>
        </w:rPr>
      </w:r>
      <w:r/>
    </w:p>
    <w:p>
      <w:pPr>
        <w:ind w:firstLine="540"/>
        <w:jc w:val="both"/>
        <w:rPr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&lt;**&gt; Потребители, имеющие право на льготные тарифы в сфере водоснабжения, указанные 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ию выпадающих доходов организациям коммунального комплекса». </w:t>
      </w:r>
      <w:r>
        <w:rPr>
          <w:sz w:val="20"/>
          <w:szCs w:val="20"/>
        </w:rPr>
      </w:r>
      <w:r/>
    </w:p>
    <w:p>
      <w:pPr>
        <w:pStyle w:val="832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».</w:t>
      </w:r>
      <w:r>
        <w:rPr>
          <w:rFonts w:ascii="Liberation Sans" w:hAnsi="Liberation Sans" w:cs="Liberation Sans"/>
          <w:sz w:val="20"/>
          <w:szCs w:val="20"/>
        </w:rPr>
      </w:r>
      <w:r/>
    </w:p>
    <w:sectPr>
      <w:footnotePr/>
      <w:endnotePr/>
      <w:type w:val="nextPage"/>
      <w:pgSz w:w="16838" w:h="11906" w:orient="landscape"/>
      <w:pgMar w:top="850" w:right="850" w:bottom="340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84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84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32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7113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2"/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2"/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2"/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2"/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2"/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2"/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2"/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2"/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2"/>
        <w:ind w:left="1066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uiPriority w:val="39"/>
    <w:unhideWhenUsed/>
    <w:pPr>
      <w:ind w:left="0" w:right="0" w:firstLine="0"/>
      <w:spacing w:after="57"/>
    </w:pPr>
  </w:style>
  <w:style w:type="paragraph" w:styleId="822">
    <w:name w:val="toc 2"/>
    <w:uiPriority w:val="39"/>
    <w:unhideWhenUsed/>
    <w:pPr>
      <w:ind w:left="283" w:right="0" w:firstLine="0"/>
      <w:spacing w:after="57"/>
    </w:pPr>
  </w:style>
  <w:style w:type="paragraph" w:styleId="823">
    <w:name w:val="toc 3"/>
    <w:uiPriority w:val="39"/>
    <w:unhideWhenUsed/>
    <w:pPr>
      <w:ind w:left="567" w:right="0" w:firstLine="0"/>
      <w:spacing w:after="57"/>
    </w:pPr>
  </w:style>
  <w:style w:type="paragraph" w:styleId="824">
    <w:name w:val="toc 4"/>
    <w:uiPriority w:val="39"/>
    <w:unhideWhenUsed/>
    <w:pPr>
      <w:ind w:left="850" w:right="0" w:firstLine="0"/>
      <w:spacing w:after="57"/>
    </w:pPr>
  </w:style>
  <w:style w:type="paragraph" w:styleId="825">
    <w:name w:val="toc 5"/>
    <w:uiPriority w:val="39"/>
    <w:unhideWhenUsed/>
    <w:pPr>
      <w:ind w:left="1134" w:right="0" w:firstLine="0"/>
      <w:spacing w:after="57"/>
    </w:pPr>
  </w:style>
  <w:style w:type="paragraph" w:styleId="826">
    <w:name w:val="toc 6"/>
    <w:uiPriority w:val="39"/>
    <w:unhideWhenUsed/>
    <w:pPr>
      <w:ind w:left="1417" w:right="0" w:firstLine="0"/>
      <w:spacing w:after="57"/>
    </w:pPr>
  </w:style>
  <w:style w:type="paragraph" w:styleId="827">
    <w:name w:val="toc 7"/>
    <w:uiPriority w:val="39"/>
    <w:unhideWhenUsed/>
    <w:pPr>
      <w:ind w:left="1701" w:right="0" w:firstLine="0"/>
      <w:spacing w:after="57"/>
    </w:pPr>
  </w:style>
  <w:style w:type="paragraph" w:styleId="828">
    <w:name w:val="toc 8"/>
    <w:uiPriority w:val="39"/>
    <w:unhideWhenUsed/>
    <w:pPr>
      <w:ind w:left="1984" w:right="0" w:firstLine="0"/>
      <w:spacing w:after="57"/>
    </w:pPr>
  </w:style>
  <w:style w:type="paragraph" w:styleId="829">
    <w:name w:val="toc 9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uiPriority w:val="99"/>
    <w:unhideWhenUsed/>
    <w:pPr>
      <w:spacing w:after="0" w:afterAutospacing="0"/>
    </w:pPr>
  </w:style>
  <w:style w:type="paragraph" w:styleId="832">
    <w:name w:val="Обычный"/>
    <w:next w:val="832"/>
    <w:link w:val="832"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Знак Знак Знак Знак"/>
    <w:basedOn w:val="832"/>
    <w:next w:val="836"/>
    <w:link w:val="83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7">
    <w:name w:val="ConsPlusNormal"/>
    <w:next w:val="837"/>
    <w:link w:val="832"/>
    <w:pPr>
      <w:ind w:firstLine="720"/>
    </w:pPr>
    <w:rPr>
      <w:rFonts w:ascii="Arial" w:hAnsi="Arial"/>
      <w:lang w:val="ru-RU" w:eastAsia="ru-RU" w:bidi="ar-SA"/>
    </w:rPr>
  </w:style>
  <w:style w:type="paragraph" w:styleId="838">
    <w:name w:val="ConsPlusCell"/>
    <w:next w:val="838"/>
    <w:link w:val="832"/>
    <w:pPr>
      <w:widowControl w:val="off"/>
    </w:pPr>
    <w:rPr>
      <w:rFonts w:ascii="Arial" w:hAnsi="Arial"/>
      <w:lang w:val="ru-RU" w:eastAsia="ru-RU" w:bidi="ar-SA"/>
    </w:rPr>
  </w:style>
  <w:style w:type="table" w:styleId="839">
    <w:name w:val="Сетка таблицы"/>
    <w:basedOn w:val="834"/>
    <w:next w:val="839"/>
    <w:link w:val="832"/>
    <w:tblPr/>
  </w:style>
  <w:style w:type="paragraph" w:styleId="840">
    <w:name w:val="Основной текст с отступом 2"/>
    <w:basedOn w:val="832"/>
    <w:next w:val="840"/>
    <w:link w:val="842"/>
    <w:pPr>
      <w:ind w:firstLine="720"/>
      <w:jc w:val="both"/>
    </w:pPr>
    <w:rPr>
      <w:sz w:val="28"/>
      <w:lang w:val="en-US" w:eastAsia="en-US"/>
    </w:rPr>
  </w:style>
  <w:style w:type="paragraph" w:styleId="841">
    <w:name w:val="ConsPlusNonformat"/>
    <w:next w:val="841"/>
    <w:link w:val="832"/>
    <w:rPr>
      <w:rFonts w:ascii="Courier New" w:hAnsi="Courier New"/>
      <w:lang w:val="ru-RU" w:eastAsia="ru-RU" w:bidi="ar-SA"/>
    </w:rPr>
  </w:style>
  <w:style w:type="character" w:styleId="842">
    <w:name w:val="Основной текст с отступом 2 Знак"/>
    <w:next w:val="842"/>
    <w:link w:val="840"/>
    <w:rPr>
      <w:sz w:val="28"/>
      <w:szCs w:val="24"/>
    </w:rPr>
  </w:style>
  <w:style w:type="paragraph" w:styleId="843">
    <w:name w:val="Верхний колонтитул"/>
    <w:basedOn w:val="832"/>
    <w:next w:val="843"/>
    <w:link w:val="84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4">
    <w:name w:val="Верхний колонтитул Знак"/>
    <w:next w:val="844"/>
    <w:link w:val="843"/>
    <w:rPr>
      <w:sz w:val="24"/>
      <w:szCs w:val="24"/>
    </w:rPr>
  </w:style>
  <w:style w:type="paragraph" w:styleId="845">
    <w:name w:val="Нижний колонтитул"/>
    <w:basedOn w:val="832"/>
    <w:next w:val="845"/>
    <w:link w:val="84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6">
    <w:name w:val="Нижний колонтитул Знак"/>
    <w:next w:val="846"/>
    <w:link w:val="845"/>
    <w:rPr>
      <w:sz w:val="24"/>
      <w:szCs w:val="24"/>
    </w:rPr>
  </w:style>
  <w:style w:type="paragraph" w:styleId="847">
    <w:name w:val="ConsPlusTitle"/>
    <w:next w:val="847"/>
    <w:link w:val="832"/>
    <w:pPr>
      <w:widowControl w:val="off"/>
    </w:pPr>
    <w:rPr>
      <w:b/>
      <w:bCs/>
      <w:sz w:val="24"/>
      <w:szCs w:val="24"/>
      <w:lang w:val="ru-RU" w:eastAsia="ru-RU" w:bidi="ar-SA"/>
    </w:rPr>
  </w:style>
  <w:style w:type="character" w:styleId="848">
    <w:name w:val="Гиперссылка"/>
    <w:next w:val="848"/>
    <w:link w:val="832"/>
    <w:rPr>
      <w:color w:val="0000ff"/>
      <w:u w:val="single"/>
    </w:rPr>
  </w:style>
  <w:style w:type="paragraph" w:styleId="849">
    <w:name w:val="Текст выноски"/>
    <w:basedOn w:val="832"/>
    <w:next w:val="849"/>
    <w:link w:val="850"/>
    <w:rPr>
      <w:rFonts w:ascii="Tahoma" w:hAnsi="Tahoma"/>
      <w:sz w:val="16"/>
      <w:szCs w:val="16"/>
      <w:lang w:val="en-US" w:eastAsia="en-US"/>
    </w:rPr>
  </w:style>
  <w:style w:type="character" w:styleId="850">
    <w:name w:val="Текст выноски Знак"/>
    <w:next w:val="850"/>
    <w:link w:val="849"/>
    <w:rPr>
      <w:rFonts w:ascii="Tahoma" w:hAnsi="Tahoma"/>
      <w:sz w:val="16"/>
      <w:szCs w:val="16"/>
    </w:rPr>
  </w:style>
  <w:style w:type="paragraph" w:styleId="851">
    <w:name w:val="Схема документа"/>
    <w:basedOn w:val="832"/>
    <w:next w:val="851"/>
    <w:link w:val="852"/>
    <w:rPr>
      <w:rFonts w:ascii="Tahoma" w:hAnsi="Tahoma"/>
      <w:sz w:val="16"/>
      <w:szCs w:val="16"/>
      <w:lang w:val="en-US" w:eastAsia="en-US"/>
    </w:rPr>
  </w:style>
  <w:style w:type="character" w:styleId="852">
    <w:name w:val="Схема документа Знак"/>
    <w:next w:val="852"/>
    <w:link w:val="851"/>
    <w:rPr>
      <w:rFonts w:ascii="Tahoma" w:hAnsi="Tahoma"/>
      <w:sz w:val="16"/>
      <w:szCs w:val="16"/>
    </w:rPr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paragraph" w:styleId="855" w:default="1">
    <w:name w:val="Normal"/>
    <w:qFormat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2023-12-17T10:33:19Z</dcterms:modified>
</cp:coreProperties>
</file>